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EB" w:rsidRDefault="00E014EB" w:rsidP="0029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НАЦІОНАЛЬНА АКАДЕМІЯ АГРАРНИХ НАУК УКРАЇНИ</w:t>
      </w:r>
    </w:p>
    <w:p w:rsidR="00E014EB" w:rsidRDefault="00E014EB" w:rsidP="0029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Національн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науковий центр «Інститут експериментальної і клінічної ветеринарної медицини»</w:t>
      </w:r>
    </w:p>
    <w:p w:rsidR="002964B6" w:rsidRDefault="002964B6" w:rsidP="00E01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964B6" w:rsidRDefault="002964B6" w:rsidP="00E01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014EB" w:rsidRDefault="00E014EB" w:rsidP="00E01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E014EB" w:rsidRDefault="002964B6" w:rsidP="002964B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014EB">
        <w:rPr>
          <w:rFonts w:ascii="Times New Roman" w:hAnsi="Times New Roman" w:cs="Times New Roman"/>
          <w:sz w:val="28"/>
          <w:szCs w:val="28"/>
        </w:rPr>
        <w:t>Директор НН</w:t>
      </w:r>
      <w:r w:rsidR="00E014EB">
        <w:rPr>
          <w:rFonts w:ascii="Times New Roman" w:hAnsi="Times New Roman" w:cs="Times New Roman"/>
          <w:sz w:val="28"/>
          <w:szCs w:val="28"/>
          <w:lang w:val="uk-UA"/>
        </w:rPr>
        <w:t>Ц «ІЕКВМ»,</w:t>
      </w:r>
    </w:p>
    <w:p w:rsidR="002964B6" w:rsidRDefault="00E014EB" w:rsidP="00E01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ветеринарних наук, </w:t>
      </w:r>
    </w:p>
    <w:p w:rsidR="00E014EB" w:rsidRPr="00E014EB" w:rsidRDefault="002964B6" w:rsidP="002964B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014EB">
        <w:rPr>
          <w:rFonts w:ascii="Times New Roman" w:hAnsi="Times New Roman" w:cs="Times New Roman"/>
          <w:sz w:val="28"/>
          <w:szCs w:val="28"/>
          <w:lang w:val="uk-UA"/>
        </w:rPr>
        <w:t>професор,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014EB">
        <w:rPr>
          <w:rFonts w:ascii="Times New Roman" w:hAnsi="Times New Roman" w:cs="Times New Roman"/>
          <w:sz w:val="28"/>
          <w:szCs w:val="28"/>
          <w:lang w:val="uk-UA"/>
        </w:rPr>
        <w:t>кадемік НААН</w:t>
      </w:r>
    </w:p>
    <w:p w:rsidR="00E014EB" w:rsidRDefault="00E014EB" w:rsidP="00E01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2964B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4B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4B6">
        <w:rPr>
          <w:rFonts w:ascii="Times New Roman" w:hAnsi="Times New Roman" w:cs="Times New Roman"/>
          <w:sz w:val="28"/>
          <w:szCs w:val="28"/>
          <w:lang w:val="uk-UA"/>
        </w:rPr>
        <w:t>Стегній</w:t>
      </w:r>
      <w:proofErr w:type="spellEnd"/>
    </w:p>
    <w:p w:rsidR="002964B6" w:rsidRDefault="002964B6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7C8E" w:rsidRDefault="00777C8E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7C8E" w:rsidRDefault="00777C8E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7C8E" w:rsidRDefault="00777C8E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7C8E" w:rsidRDefault="00777C8E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7C8E" w:rsidRDefault="00777C8E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4B6" w:rsidRDefault="002964B6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14EB" w:rsidRDefault="00E014EB" w:rsidP="0029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E949E1">
        <w:rPr>
          <w:rFonts w:ascii="Times New Roman" w:hAnsi="Times New Roman" w:cs="Times New Roman"/>
          <w:b/>
          <w:bCs/>
          <w:sz w:val="32"/>
          <w:szCs w:val="28"/>
        </w:rPr>
        <w:t xml:space="preserve">ПРАВИЛА </w:t>
      </w:r>
      <w:r w:rsidR="002964B6" w:rsidRPr="00E949E1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  </w:t>
      </w:r>
      <w:r w:rsidRPr="00E949E1">
        <w:rPr>
          <w:rFonts w:ascii="Times New Roman" w:hAnsi="Times New Roman" w:cs="Times New Roman"/>
          <w:b/>
          <w:bCs/>
          <w:sz w:val="32"/>
          <w:szCs w:val="28"/>
        </w:rPr>
        <w:t>ПРИЙОМУ</w:t>
      </w:r>
      <w:r w:rsidR="002964B6" w:rsidRPr="00E949E1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   </w:t>
      </w:r>
      <w:r w:rsidRPr="00E949E1">
        <w:rPr>
          <w:rFonts w:ascii="Times New Roman" w:hAnsi="Times New Roman" w:cs="Times New Roman"/>
          <w:b/>
          <w:bCs/>
          <w:sz w:val="32"/>
          <w:szCs w:val="28"/>
        </w:rPr>
        <w:t xml:space="preserve">В </w:t>
      </w:r>
      <w:r w:rsidR="002964B6" w:rsidRPr="00E949E1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 </w:t>
      </w:r>
      <w:r w:rsidRPr="00E949E1">
        <w:rPr>
          <w:rFonts w:ascii="Times New Roman" w:hAnsi="Times New Roman" w:cs="Times New Roman"/>
          <w:b/>
          <w:bCs/>
          <w:sz w:val="32"/>
          <w:szCs w:val="28"/>
        </w:rPr>
        <w:t>АСПІРАНТУРУ</w:t>
      </w:r>
      <w:r w:rsidR="00777C8E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</w:p>
    <w:p w:rsidR="00777C8E" w:rsidRDefault="00777C8E" w:rsidP="0029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ННЦ «ІНСТИТУТ ЕКСПЕРИМЕНТАЛЬНОЇ І КЛІНІЧНОЇ ВЕТЕРИНАРНОЇ МЕДИЦИНИ»</w:t>
      </w:r>
    </w:p>
    <w:p w:rsidR="00AF552A" w:rsidRPr="00777C8E" w:rsidRDefault="00AF552A" w:rsidP="0029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777C8E" w:rsidRDefault="002964B6" w:rsidP="002964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2964B6">
        <w:rPr>
          <w:rFonts w:ascii="Times New Roman" w:hAnsi="Times New Roman" w:cs="Times New Roman"/>
          <w:b/>
          <w:bCs/>
          <w:sz w:val="32"/>
          <w:szCs w:val="28"/>
          <w:lang w:val="uk-UA"/>
        </w:rPr>
        <w:t>для здобуття наукового ступеня доктора філософії</w:t>
      </w:r>
      <w:r w:rsidR="00E949E1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</w:p>
    <w:p w:rsidR="00AF552A" w:rsidRDefault="00AF552A" w:rsidP="00AF552A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F552A" w:rsidRPr="00AF552A" w:rsidRDefault="00AF552A" w:rsidP="00AF55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52A">
        <w:rPr>
          <w:rFonts w:ascii="Times New Roman" w:hAnsi="Times New Roman" w:cs="Times New Roman"/>
          <w:b/>
          <w:sz w:val="28"/>
          <w:szCs w:val="28"/>
          <w:lang w:val="uk-UA"/>
        </w:rPr>
        <w:t>за  спеціальностями:</w:t>
      </w:r>
    </w:p>
    <w:p w:rsidR="00AF552A" w:rsidRPr="00AF552A" w:rsidRDefault="00AF552A" w:rsidP="00AF552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F55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211 ветеринарна медицина </w:t>
      </w:r>
    </w:p>
    <w:p w:rsidR="00AF552A" w:rsidRPr="00AF552A" w:rsidRDefault="00AF552A" w:rsidP="00AF552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F55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212 ветеринарна гігієна, санітарія і експертиза </w:t>
      </w:r>
    </w:p>
    <w:p w:rsidR="00AF552A" w:rsidRPr="00AF552A" w:rsidRDefault="00AF552A" w:rsidP="00AF552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F55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091 біологія </w:t>
      </w:r>
    </w:p>
    <w:p w:rsidR="00AF552A" w:rsidRDefault="00AF552A" w:rsidP="002964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E949E1" w:rsidRPr="00AF552A" w:rsidRDefault="00E949E1" w:rsidP="002964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2964B6" w:rsidRDefault="002964B6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4B6" w:rsidRDefault="002964B6" w:rsidP="00E0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14EB" w:rsidRPr="00AF552A" w:rsidRDefault="00777C8E" w:rsidP="0077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AF552A">
        <w:rPr>
          <w:rFonts w:ascii="Times New Roman" w:hAnsi="Times New Roman" w:cs="Times New Roman"/>
          <w:sz w:val="28"/>
          <w:szCs w:val="28"/>
          <w:lang w:val="uk-UA"/>
        </w:rPr>
        <w:t xml:space="preserve">Схвалено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14EB" w:rsidRPr="00AF552A">
        <w:rPr>
          <w:rFonts w:ascii="Times New Roman" w:hAnsi="Times New Roman" w:cs="Times New Roman"/>
          <w:sz w:val="28"/>
          <w:szCs w:val="28"/>
          <w:lang w:val="uk-UA"/>
        </w:rPr>
        <w:t>ченої ради</w:t>
      </w:r>
    </w:p>
    <w:p w:rsidR="00E014EB" w:rsidRPr="00DB0335" w:rsidRDefault="00777C8E" w:rsidP="0077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E014EB" w:rsidRPr="00DB0335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Ц «ІЕКВМ»</w:t>
      </w:r>
    </w:p>
    <w:p w:rsidR="00E014EB" w:rsidRDefault="00777C8E" w:rsidP="00777C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1FAB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03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B0335">
        <w:rPr>
          <w:rFonts w:ascii="Times New Roman" w:hAnsi="Times New Roman" w:cs="Times New Roman"/>
          <w:sz w:val="28"/>
          <w:szCs w:val="28"/>
        </w:rPr>
        <w:t xml:space="preserve"> </w:t>
      </w:r>
      <w:r w:rsidR="00DB0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FAB">
        <w:rPr>
          <w:rFonts w:ascii="Times New Roman" w:hAnsi="Times New Roman" w:cs="Times New Roman"/>
          <w:sz w:val="28"/>
          <w:szCs w:val="28"/>
          <w:lang w:val="uk-UA"/>
        </w:rPr>
        <w:t>15 грудня</w:t>
      </w:r>
      <w:r w:rsidR="00DB0335">
        <w:rPr>
          <w:rFonts w:ascii="Times New Roman" w:hAnsi="Times New Roman" w:cs="Times New Roman"/>
          <w:sz w:val="28"/>
          <w:szCs w:val="28"/>
        </w:rPr>
        <w:t xml:space="preserve"> 201</w:t>
      </w:r>
      <w:r w:rsidR="00DB033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014EB">
        <w:rPr>
          <w:rFonts w:ascii="Times New Roman" w:hAnsi="Times New Roman" w:cs="Times New Roman"/>
          <w:sz w:val="28"/>
          <w:szCs w:val="28"/>
        </w:rPr>
        <w:t>)</w:t>
      </w:r>
    </w:p>
    <w:p w:rsidR="00E014EB" w:rsidRDefault="00E014EB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14EB" w:rsidRDefault="00E014EB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14EB" w:rsidRDefault="00E014EB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0885" w:rsidRDefault="00410885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14EB" w:rsidRDefault="00E014EB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240C" w:rsidRPr="007C4A3F" w:rsidRDefault="0093240C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ПРАВИЛА ПРИЙОМУ</w:t>
      </w:r>
      <w:r w:rsidR="00367D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АСПІРАНТУРУ</w:t>
      </w:r>
      <w:r w:rsidR="00AF55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ННЦ «ІЕКВМ»</w:t>
      </w:r>
    </w:p>
    <w:p w:rsidR="00367D2C" w:rsidRDefault="0093240C" w:rsidP="00367D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здобуття наукового ступеня доктора філософії</w:t>
      </w:r>
    </w:p>
    <w:p w:rsidR="002B4C79" w:rsidRDefault="00F04869" w:rsidP="00367D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для оголошення прийому для здобуття </w:t>
      </w:r>
      <w:r w:rsidR="00B67B6A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ступеня </w:t>
      </w:r>
      <w:r w:rsidRPr="008548CB">
        <w:rPr>
          <w:rFonts w:ascii="Times New Roman" w:hAnsi="Times New Roman" w:cs="Times New Roman"/>
          <w:sz w:val="28"/>
          <w:szCs w:val="28"/>
          <w:lang w:val="uk-UA"/>
        </w:rPr>
        <w:t>доктора філософії є ліцензія Міністерства освіти і науки України щодо надання відповідних освітніх послуг, видана в порядк</w:t>
      </w:r>
      <w:r w:rsidR="00B67B6A" w:rsidRPr="008548CB">
        <w:rPr>
          <w:rFonts w:ascii="Times New Roman" w:hAnsi="Times New Roman" w:cs="Times New Roman"/>
          <w:sz w:val="28"/>
          <w:szCs w:val="28"/>
          <w:lang w:val="uk-UA"/>
        </w:rPr>
        <w:t>у, установленому законодавством</w:t>
      </w:r>
      <w:r w:rsidRPr="008548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690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Прийом на навчання проводиться в межах ліцензованого обсягу за спеціальностями відповідно до Переліку галузей знань і спеціальностей, затверджених постановою Кабінету Міністрів України від 29</w:t>
      </w:r>
      <w:r w:rsidR="00117D09" w:rsidRPr="008548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86690" w:rsidRPr="008548CB">
        <w:rPr>
          <w:rFonts w:ascii="Times New Roman" w:hAnsi="Times New Roman" w:cs="Times New Roman"/>
          <w:sz w:val="28"/>
          <w:szCs w:val="28"/>
          <w:lang w:val="uk-UA"/>
        </w:rPr>
        <w:t>квітня 2015 року № 266.</w:t>
      </w:r>
      <w:r w:rsidR="002B4C79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Правила прийому до </w:t>
      </w:r>
      <w:r w:rsidR="00B035DF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наукових установ НААН </w:t>
      </w:r>
      <w:r w:rsidR="008548CB" w:rsidRPr="008548CB">
        <w:rPr>
          <w:rFonts w:ascii="Times New Roman" w:hAnsi="Times New Roman" w:cs="Times New Roman"/>
          <w:sz w:val="28"/>
          <w:szCs w:val="28"/>
          <w:lang w:val="uk-UA"/>
        </w:rPr>
        <w:t>розробл</w:t>
      </w:r>
      <w:r w:rsidR="00C51969">
        <w:rPr>
          <w:rFonts w:ascii="Times New Roman" w:hAnsi="Times New Roman" w:cs="Times New Roman"/>
          <w:sz w:val="28"/>
          <w:szCs w:val="28"/>
          <w:lang w:val="uk-UA"/>
        </w:rPr>
        <w:t>яються</w:t>
      </w:r>
      <w:r w:rsidR="002B4C79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України</w:t>
      </w:r>
      <w:r w:rsidR="008548CB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C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548CB" w:rsidRPr="008548CB">
        <w:rPr>
          <w:rFonts w:ascii="Times New Roman" w:hAnsi="Times New Roman" w:cs="Times New Roman"/>
          <w:sz w:val="28"/>
          <w:szCs w:val="28"/>
          <w:lang w:val="uk-UA"/>
        </w:rPr>
        <w:t>Закон України «Про вищу освіту» від 1 липня 2014 р. № 1556-VII, Постанов</w:t>
      </w:r>
      <w:r w:rsidR="008548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548CB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№ 261 від 23 березня 2016 р. «Про затвердження порядку підготовки здобувачів ступеня доктора філософії та доктора наук у вищих навчальних закладах (наукових установах)», Наказ Міністерства освіти і науки України №</w:t>
      </w:r>
      <w:r w:rsidR="008548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548CB" w:rsidRPr="008548CB">
        <w:rPr>
          <w:rFonts w:ascii="Times New Roman" w:hAnsi="Times New Roman" w:cs="Times New Roman"/>
          <w:sz w:val="28"/>
          <w:szCs w:val="28"/>
          <w:lang w:val="uk-UA"/>
        </w:rPr>
        <w:t>1085 від 15 жовтня 2015</w:t>
      </w:r>
      <w:r w:rsidR="008548CB" w:rsidRPr="008548CB">
        <w:rPr>
          <w:rFonts w:ascii="Times New Roman" w:hAnsi="Times New Roman" w:cs="Times New Roman"/>
          <w:vanish/>
          <w:sz w:val="28"/>
          <w:szCs w:val="28"/>
          <w:lang w:val="uk-UA"/>
        </w:rPr>
        <w:t>р р.</w:t>
      </w:r>
      <w:r w:rsidR="008548CB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р. «Умови</w:t>
      </w:r>
      <w:r w:rsidR="0085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CB" w:rsidRPr="008548CB">
        <w:rPr>
          <w:rFonts w:ascii="Times New Roman" w:hAnsi="Times New Roman" w:cs="Times New Roman"/>
          <w:sz w:val="28"/>
          <w:szCs w:val="28"/>
          <w:lang w:val="uk-UA"/>
        </w:rPr>
        <w:t>прийому на навчання до вищих на</w:t>
      </w:r>
      <w:r w:rsidR="008548CB">
        <w:rPr>
          <w:rFonts w:ascii="Times New Roman" w:hAnsi="Times New Roman" w:cs="Times New Roman"/>
          <w:sz w:val="28"/>
          <w:szCs w:val="28"/>
          <w:lang w:val="uk-UA"/>
        </w:rPr>
        <w:t xml:space="preserve">вчальних закладів </w:t>
      </w:r>
      <w:r w:rsidR="008548CB" w:rsidRPr="008548CB">
        <w:rPr>
          <w:rFonts w:ascii="Times New Roman" w:hAnsi="Times New Roman" w:cs="Times New Roman"/>
          <w:sz w:val="28"/>
          <w:szCs w:val="28"/>
          <w:lang w:val="uk-UA"/>
        </w:rPr>
        <w:t>України в 2016 році»</w:t>
      </w:r>
      <w:r w:rsidR="008548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4C79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, розміщуються на офіційному веб-сайті </w:t>
      </w:r>
      <w:r w:rsidR="00B035DF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наукової установи </w:t>
      </w:r>
      <w:r w:rsidR="002B4C79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і вносяться до </w:t>
      </w:r>
      <w:r w:rsidR="00C34F00" w:rsidRPr="008548CB">
        <w:rPr>
          <w:rFonts w:ascii="Times New Roman" w:hAnsi="Times New Roman" w:cs="Times New Roman"/>
          <w:sz w:val="28"/>
          <w:szCs w:val="28"/>
          <w:lang w:val="uk-UA"/>
        </w:rPr>
        <w:t>Єдиної державної електронн</w:t>
      </w:r>
      <w:r w:rsidR="00A41531">
        <w:rPr>
          <w:rFonts w:ascii="Times New Roman" w:hAnsi="Times New Roman" w:cs="Times New Roman"/>
          <w:sz w:val="28"/>
          <w:szCs w:val="28"/>
          <w:lang w:val="uk-UA"/>
        </w:rPr>
        <w:t>ої бази з питань освіти (</w:t>
      </w:r>
      <w:r w:rsidR="00C34F00" w:rsidRPr="008548CB">
        <w:rPr>
          <w:rFonts w:ascii="Times New Roman" w:hAnsi="Times New Roman" w:cs="Times New Roman"/>
          <w:sz w:val="28"/>
          <w:szCs w:val="28"/>
          <w:lang w:val="uk-UA"/>
        </w:rPr>
        <w:t>ЄДЕБО).</w:t>
      </w:r>
      <w:r w:rsidR="002B4C79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0B7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за три дні до початку прийому документів </w:t>
      </w:r>
      <w:r w:rsidR="00B40ECA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наукові установи </w:t>
      </w:r>
      <w:r w:rsidR="009C50B7" w:rsidRPr="008548CB">
        <w:rPr>
          <w:rFonts w:ascii="Times New Roman" w:hAnsi="Times New Roman" w:cs="Times New Roman"/>
          <w:sz w:val="28"/>
          <w:szCs w:val="28"/>
          <w:lang w:val="uk-UA"/>
        </w:rPr>
        <w:t>зобов'язані оприлюднити на власних веб-сайтах та внести до</w:t>
      </w:r>
      <w:r w:rsidR="00E75360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0B7" w:rsidRPr="008548C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4F00" w:rsidRPr="008548CB">
        <w:rPr>
          <w:rFonts w:ascii="Times New Roman" w:hAnsi="Times New Roman" w:cs="Times New Roman"/>
          <w:sz w:val="28"/>
          <w:szCs w:val="28"/>
          <w:lang w:val="uk-UA"/>
        </w:rPr>
        <w:t>ДЕБО</w:t>
      </w:r>
      <w:r w:rsidR="009C50B7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граничний обсяг місць, що фінансуються за кошти державного бюджету на спеціальності.</w:t>
      </w:r>
      <w:r w:rsidR="00B40ECA" w:rsidRPr="0085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C79" w:rsidRPr="008548CB">
        <w:rPr>
          <w:rFonts w:ascii="Times New Roman" w:hAnsi="Times New Roman" w:cs="Times New Roman"/>
          <w:sz w:val="28"/>
          <w:szCs w:val="28"/>
          <w:lang w:val="uk-UA"/>
        </w:rPr>
        <w:t>Правила прийому діють протягом календарного року.</w:t>
      </w:r>
    </w:p>
    <w:p w:rsidR="00B613F9" w:rsidRPr="008548CB" w:rsidRDefault="002964B6" w:rsidP="00367D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прийому затверджені</w:t>
      </w:r>
      <w:r w:rsidR="00B613F9">
        <w:rPr>
          <w:rFonts w:ascii="Times New Roman" w:hAnsi="Times New Roman" w:cs="Times New Roman"/>
          <w:sz w:val="28"/>
          <w:szCs w:val="28"/>
          <w:lang w:val="uk-UA"/>
        </w:rPr>
        <w:t xml:space="preserve"> Вчен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613F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ою (протокол № 9 від 25 серпня 2016 р.)</w:t>
      </w:r>
      <w:r w:rsidR="00B613F9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установи.</w:t>
      </w:r>
    </w:p>
    <w:p w:rsidR="0015124A" w:rsidRDefault="0015124A" w:rsidP="00367D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1. Вимоги до рівня освіти вступників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До аспірантури на денну та заочну форми навчання для здобуття наукового</w:t>
      </w:r>
      <w:r w:rsidR="005375A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ступеня доктора філософії на конкурсній основі приймаються особи, які здобули ступінь магістра або освітньо-кваліфікаційний рівень спеціаліста. 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Підготовка в аспірантурі</w:t>
      </w:r>
      <w:r w:rsidR="00F715BC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A60">
        <w:rPr>
          <w:rFonts w:ascii="Times New Roman" w:hAnsi="Times New Roman" w:cs="Times New Roman"/>
          <w:sz w:val="28"/>
          <w:szCs w:val="28"/>
          <w:lang w:val="uk-UA"/>
        </w:rPr>
        <w:t>ННЦ «ІЕКВМ»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рахунок:</w:t>
      </w:r>
    </w:p>
    <w:p w:rsidR="00453764" w:rsidRPr="007C4A3F" w:rsidRDefault="00F715BC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коштів Державного бюджету України</w:t>
      </w:r>
      <w:r w:rsidR="00F355DC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(якщо третій ступінь вищої освіти громадянин здобуває вперше за кошти державного бюджету)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7C4A3F" w:rsidRDefault="00F715BC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коштів юридичних та фізичних осіб (на умовах контракту).</w:t>
      </w:r>
    </w:p>
    <w:p w:rsidR="00077F60" w:rsidRPr="007C4A3F" w:rsidRDefault="00077F60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здобувачів вищої освіти ступеня доктора філософії за державним замовленням здійснюється виключно в аспірантурі за очною формою навчання.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Підготовка іноземних громадян та осіб без громадянства здійснюється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453764" w:rsidRPr="007C4A3F" w:rsidRDefault="00F715BC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договорів України та/або міжнародних програм обміну чи</w:t>
      </w:r>
      <w:r w:rsidR="0085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мобільності;</w:t>
      </w:r>
    </w:p>
    <w:p w:rsidR="00453764" w:rsidRPr="007C4A3F" w:rsidRDefault="00F715BC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договорів, укладених між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науковою установою </w:t>
      </w:r>
      <w:r w:rsidR="00521CF1">
        <w:rPr>
          <w:rFonts w:ascii="Times New Roman" w:hAnsi="Times New Roman" w:cs="Times New Roman"/>
          <w:sz w:val="28"/>
          <w:szCs w:val="28"/>
          <w:lang w:val="uk-UA"/>
        </w:rPr>
        <w:t xml:space="preserve">ННЦ «ІЕКВМ»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НААН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та вищими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навчальними закладами (науковими установами) інших країн, щодо</w:t>
      </w:r>
      <w:r w:rsidR="00854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обміну вченими чи академічної мобільності;</w:t>
      </w:r>
    </w:p>
    <w:p w:rsidR="00453764" w:rsidRPr="007C4A3F" w:rsidRDefault="00F715BC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юридичних та фізичних осіб (на умовах контракту).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Аспіранти денної форми навчання:</w:t>
      </w:r>
    </w:p>
    <w:p w:rsidR="00453764" w:rsidRPr="007C4A3F" w:rsidRDefault="00077F60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отримують державну стипендію у разі зарахування на навчання за</w:t>
      </w:r>
      <w:r w:rsidR="005375A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державним бюджетом у відповідності з чинним законодавством</w:t>
      </w:r>
      <w:r w:rsidR="005375A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8548CB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Аспіранти заочної форми навчання користуються пільгами згідно з чинним</w:t>
      </w:r>
      <w:r w:rsidR="005375A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  <w:r w:rsidR="00077F60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764" w:rsidRPr="007C4A3F" w:rsidRDefault="00077F60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Нормативний строк підготовки доктора філософії в аспірантурі становить чотири роки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7FF" w:rsidRPr="007C4A3F" w:rsidRDefault="006D07FF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2. Терміни прийому заяв і документів, вступних випробувань,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конкурсного відбору та зарахування на навчання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1. Порядок роботи Приймальної комісії:</w:t>
      </w:r>
      <w:r w:rsidR="00A2062E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щодня, крім суботи та неділі, з 9</w:t>
      </w:r>
      <w:r w:rsidR="006D07FF" w:rsidRPr="007C4A3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="00E949E1">
        <w:rPr>
          <w:rFonts w:ascii="Times New Roman" w:hAnsi="Times New Roman" w:cs="Times New Roman"/>
          <w:sz w:val="28"/>
          <w:szCs w:val="28"/>
          <w:lang w:val="uk-UA"/>
        </w:rPr>
        <w:t xml:space="preserve"> до 16</w:t>
      </w:r>
      <w:r w:rsidR="006D07FF" w:rsidRPr="007C4A3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2. Прийом заяв і документів, вступні іспити, конкурсний відбір та</w:t>
      </w:r>
      <w:r w:rsidR="00A2062E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зарахування на навчання до аспірантури денної та заочної форм</w:t>
      </w:r>
      <w:r w:rsidR="009257BC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навчання проводяться в такі терміни:</w:t>
      </w:r>
    </w:p>
    <w:p w:rsidR="006D07FF" w:rsidRPr="007C4A3F" w:rsidRDefault="006D07FF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8CB" w:rsidRPr="007C4A3F" w:rsidTr="00C51969">
        <w:tc>
          <w:tcPr>
            <w:tcW w:w="9571" w:type="dxa"/>
            <w:gridSpan w:val="2"/>
          </w:tcPr>
          <w:p w:rsidR="008548CB" w:rsidRPr="007C4A3F" w:rsidRDefault="008548CB" w:rsidP="008548C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строки</w:t>
            </w:r>
            <w:r w:rsidRPr="007C4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вступної кампанії</w:t>
            </w:r>
          </w:p>
        </w:tc>
      </w:tr>
      <w:tr w:rsidR="006D07FF" w:rsidRPr="007C4A3F" w:rsidTr="009257BC">
        <w:trPr>
          <w:trHeight w:val="351"/>
        </w:trPr>
        <w:tc>
          <w:tcPr>
            <w:tcW w:w="4785" w:type="dxa"/>
          </w:tcPr>
          <w:p w:rsidR="006D07FF" w:rsidRPr="007C4A3F" w:rsidRDefault="006D07FF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прийому заяв і документів</w:t>
            </w:r>
          </w:p>
        </w:tc>
        <w:tc>
          <w:tcPr>
            <w:tcW w:w="4786" w:type="dxa"/>
          </w:tcPr>
          <w:p w:rsidR="006D07FF" w:rsidRPr="007C4A3F" w:rsidRDefault="00DB0335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4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червня</w:t>
            </w:r>
            <w:r w:rsidR="009E3D0C"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D07FF" w:rsidRPr="007C4A3F" w:rsidTr="004242B9">
        <w:tc>
          <w:tcPr>
            <w:tcW w:w="4785" w:type="dxa"/>
          </w:tcPr>
          <w:p w:rsidR="006D07FF" w:rsidRPr="007C4A3F" w:rsidRDefault="006D07FF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прийому заяв і документів</w:t>
            </w:r>
          </w:p>
        </w:tc>
        <w:tc>
          <w:tcPr>
            <w:tcW w:w="4786" w:type="dxa"/>
          </w:tcPr>
          <w:p w:rsidR="006D07FF" w:rsidRPr="007C4A3F" w:rsidRDefault="00E949E1" w:rsidP="00E949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D07FF" w:rsidRPr="007C4A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D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серпня </w:t>
            </w:r>
          </w:p>
        </w:tc>
      </w:tr>
      <w:tr w:rsidR="006D07FF" w:rsidRPr="007C4A3F" w:rsidTr="004242B9">
        <w:tc>
          <w:tcPr>
            <w:tcW w:w="4785" w:type="dxa"/>
          </w:tcPr>
          <w:p w:rsidR="006D07FF" w:rsidRPr="007C4A3F" w:rsidRDefault="004242B9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проведення вступних іспитів</w:t>
            </w:r>
          </w:p>
        </w:tc>
        <w:tc>
          <w:tcPr>
            <w:tcW w:w="4786" w:type="dxa"/>
          </w:tcPr>
          <w:p w:rsidR="006D07FF" w:rsidRPr="007C4A3F" w:rsidRDefault="00BD00A4" w:rsidP="00E949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 серпня</w:t>
            </w:r>
            <w:r w:rsidR="004242B9" w:rsidRPr="007C4A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  <w:r w:rsidR="00FD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 вересня </w:t>
            </w:r>
          </w:p>
        </w:tc>
      </w:tr>
      <w:tr w:rsidR="006D07FF" w:rsidRPr="007C4A3F" w:rsidTr="004242B9">
        <w:tc>
          <w:tcPr>
            <w:tcW w:w="4785" w:type="dxa"/>
          </w:tcPr>
          <w:p w:rsidR="006D07FF" w:rsidRPr="007C4A3F" w:rsidRDefault="004242B9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зарахування вступників за кошти державного бюджету</w:t>
            </w:r>
          </w:p>
        </w:tc>
        <w:tc>
          <w:tcPr>
            <w:tcW w:w="4786" w:type="dxa"/>
          </w:tcPr>
          <w:p w:rsidR="006D07FF" w:rsidRPr="007C4A3F" w:rsidRDefault="004242B9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FD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15 вересня </w:t>
            </w:r>
          </w:p>
        </w:tc>
      </w:tr>
      <w:tr w:rsidR="006D07FF" w:rsidRPr="007C4A3F" w:rsidTr="004242B9">
        <w:tc>
          <w:tcPr>
            <w:tcW w:w="4785" w:type="dxa"/>
          </w:tcPr>
          <w:p w:rsidR="006D07FF" w:rsidRPr="007C4A3F" w:rsidRDefault="004242B9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зарахування вступників за кошти фізичних</w:t>
            </w:r>
            <w:r w:rsidR="009F6345"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юридичних осіб</w:t>
            </w:r>
          </w:p>
        </w:tc>
        <w:tc>
          <w:tcPr>
            <w:tcW w:w="4786" w:type="dxa"/>
          </w:tcPr>
          <w:p w:rsidR="006D07FF" w:rsidRPr="007C4A3F" w:rsidRDefault="009F6345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FD23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15 вересня </w:t>
            </w:r>
          </w:p>
        </w:tc>
      </w:tr>
      <w:tr w:rsidR="006D07FF" w:rsidRPr="007C4A3F" w:rsidTr="004242B9">
        <w:tc>
          <w:tcPr>
            <w:tcW w:w="4785" w:type="dxa"/>
          </w:tcPr>
          <w:p w:rsidR="006D07FF" w:rsidRPr="007C4A3F" w:rsidRDefault="004242B9" w:rsidP="0015124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навчання в аспірантурі </w:t>
            </w:r>
          </w:p>
        </w:tc>
        <w:tc>
          <w:tcPr>
            <w:tcW w:w="4786" w:type="dxa"/>
          </w:tcPr>
          <w:p w:rsidR="006D07FF" w:rsidRPr="007C4A3F" w:rsidRDefault="004242B9" w:rsidP="00027F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27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54F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7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  <w:r w:rsidR="00FD2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C50B7" w:rsidRPr="007C4A3F" w:rsidRDefault="009C50B7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Порядок прийому заяв і документів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1. Вступники до аспірантури подають такі документи:</w:t>
      </w:r>
    </w:p>
    <w:p w:rsidR="00453764" w:rsidRPr="007C4A3F" w:rsidRDefault="00AD0C2B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заяву на ім’я </w:t>
      </w:r>
      <w:r w:rsidR="00483E03" w:rsidRPr="007C4A3F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483E03" w:rsidRPr="007C4A3F">
        <w:rPr>
          <w:rFonts w:ascii="Times New Roman" w:hAnsi="Times New Roman" w:cs="Times New Roman"/>
          <w:sz w:val="28"/>
          <w:szCs w:val="28"/>
          <w:lang w:val="uk-UA"/>
        </w:rPr>
        <w:t>наукової установи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7C4A3F" w:rsidRDefault="00483E03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особовий листок з обліку кадрів,</w:t>
      </w:r>
      <w:r w:rsidR="009257BC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засвідчений печаткою тієї установи, в якій вступник до аспірантури</w:t>
      </w:r>
      <w:r w:rsidR="009257BC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навчається або працює;</w:t>
      </w:r>
    </w:p>
    <w:p w:rsidR="00453764" w:rsidRPr="007C4A3F" w:rsidRDefault="00483E03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2 фотокартки 3x4;</w:t>
      </w:r>
    </w:p>
    <w:p w:rsidR="00C84138" w:rsidRDefault="00483E03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список опублікованих наукових праць і винаходів; відбитки</w:t>
      </w:r>
      <w:r w:rsidR="009257BC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опублікованих статей/тез (за наявності)</w:t>
      </w:r>
      <w:r w:rsidR="00C8413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53764" w:rsidRPr="007C4A3F" w:rsidRDefault="00C84138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57BC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дослідницьку пропозицію з обраної спеціальності;</w:t>
      </w:r>
    </w:p>
    <w:p w:rsidR="00453764" w:rsidRPr="007C4A3F" w:rsidRDefault="00483E03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медичну довідку про стан здоров’я за формою № 086/о;</w:t>
      </w:r>
    </w:p>
    <w:p w:rsidR="00C84138" w:rsidRDefault="00C84138" w:rsidP="00C841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4138">
        <w:rPr>
          <w:rFonts w:ascii="Times New Roman" w:hAnsi="Times New Roman" w:cs="Times New Roman"/>
          <w:sz w:val="28"/>
          <w:szCs w:val="28"/>
          <w:lang w:val="uk-UA"/>
        </w:rPr>
        <w:t>копію паспорта, довідки про присвоєння ідентифікаційного номера;</w:t>
      </w:r>
    </w:p>
    <w:p w:rsidR="00C84138" w:rsidRDefault="00C84138" w:rsidP="00C841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автобіографію;</w:t>
      </w:r>
    </w:p>
    <w:p w:rsidR="00C84138" w:rsidRDefault="00C84138" w:rsidP="00C841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 засвідчену копію диплома про закінч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вищого навчального закладу;</w:t>
      </w:r>
    </w:p>
    <w:p w:rsidR="00C84138" w:rsidRPr="001B41EC" w:rsidRDefault="00C84138" w:rsidP="00C841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Особам, які здобули вищу освіту за кордоном, встановлюється</w:t>
      </w:r>
      <w:r w:rsidR="00483E0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еквівалентність поданого диплома відповідно до «Порядку визнання</w:t>
      </w:r>
      <w:r w:rsidR="00483E0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здобутих в іноземних вищих навчальних закладах ступенів вищої</w:t>
      </w:r>
      <w:r w:rsidR="00483E0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освіти», затвердженого наказом МОН України № 504 від 05.05.2015року;</w:t>
      </w:r>
    </w:p>
    <w:p w:rsidR="00453764" w:rsidRPr="007C4A3F" w:rsidRDefault="00483E03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рекомендацію Вченої ради вищого навчального закладу</w:t>
      </w:r>
      <w:r w:rsidR="009257BC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або наукової установи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наявності);</w:t>
      </w:r>
    </w:p>
    <w:p w:rsidR="00453764" w:rsidRPr="007C4A3F" w:rsidRDefault="00483E03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сертифікат з іноземної мови, який засвідчує рівні С1 – С2</w:t>
      </w:r>
    </w:p>
    <w:p w:rsidR="00453764" w:rsidRDefault="009343D3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наявності);</w:t>
      </w:r>
    </w:p>
    <w:p w:rsidR="009343D3" w:rsidRPr="007C4A3F" w:rsidRDefault="009343D3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папку для паперів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2. Паспорт, диплом про вищу освіту, подаються вступниками особисто.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3. Вступники до аспірантури можуть подавати документи для вступу до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аспірантури не більше, ніж на дві спеціальності.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У тому випадку, коли вступник до аспірантури рекомендується до вступу в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аспірантуру за результатами конкурсу одразу за двома спеціальностями,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освоювати </w:t>
      </w:r>
      <w:proofErr w:type="spellStart"/>
      <w:r w:rsidRPr="007C4A3F">
        <w:rPr>
          <w:rFonts w:ascii="Times New Roman" w:hAnsi="Times New Roman" w:cs="Times New Roman"/>
          <w:sz w:val="28"/>
          <w:szCs w:val="28"/>
          <w:lang w:val="uk-UA"/>
        </w:rPr>
        <w:t>освітньо-наукову</w:t>
      </w:r>
      <w:proofErr w:type="spellEnd"/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програму підготовки доктора філософії в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аспірантурі за рахунок державного бюджету він може лише за однією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спеціальністю, за іншою – на умовах контракту.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Приймальна комісія </w:t>
      </w:r>
      <w:r w:rsidR="009257BC" w:rsidRPr="007C4A3F">
        <w:rPr>
          <w:rFonts w:ascii="Times New Roman" w:hAnsi="Times New Roman" w:cs="Times New Roman"/>
          <w:sz w:val="28"/>
          <w:szCs w:val="28"/>
          <w:lang w:val="uk-UA"/>
        </w:rPr>
        <w:t>наукової установи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допускає вступників до вступних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випробувань на підставі поданих (всіх, наведених у переліку, та вчасно)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документів і може відмовити вступнику в допуску до вступних випробувань в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аспірантуру в зв’язку з неподанням у встановлений термін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документів, визначених Правилами прийому.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4. Дослідницька пропозиція – це науковий текст обсягом до 5 </w:t>
      </w:r>
      <w:proofErr w:type="spellStart"/>
      <w:r w:rsidRPr="007C4A3F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7C4A3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>лений вступником до аспірантури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, в якому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обґрунтовується тематика майбутнього дисертаційного дослідження, його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актуальність, стан розробки у вітчизняній та зарубіжній науці; можливі шляхи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розв’язання поставлених задач тощо.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дослідницьких пропозицій формують 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наукової установи 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відповідно до особливостей кожної обраної вступником спеціальності.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Оцінювання дослідницької пропозиції (з можливою</w:t>
      </w:r>
      <w:r w:rsidR="00BC17E6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презентацією за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вченої ради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>наукової установи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) відбуватиметься на вступному іспиті зі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спеціальності як його складова.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5. Трудова книжка (за наявності) із записом про звільнення з останнього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місця роботи у зв’язку зі вступом до аспірантури на денну форму навчання </w:t>
      </w:r>
      <w:r w:rsidR="00BC17E6" w:rsidRPr="007C4A3F">
        <w:rPr>
          <w:rFonts w:ascii="Times New Roman" w:hAnsi="Times New Roman" w:cs="Times New Roman"/>
          <w:sz w:val="28"/>
          <w:szCs w:val="28"/>
          <w:lang w:val="uk-UA"/>
        </w:rPr>
        <w:t>подає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ться аспірантом особисто в десятиденний термін після</w:t>
      </w:r>
      <w:r w:rsidR="001B3007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зарахування до аспірантури.</w:t>
      </w:r>
    </w:p>
    <w:p w:rsidR="0015124A" w:rsidRDefault="0015124A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Проведення вступних іспитів та конкурсний відбір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1. Вступники до аспірантури 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>наукової установи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вступні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іспити:</w:t>
      </w:r>
    </w:p>
    <w:p w:rsidR="00453764" w:rsidRPr="007C4A3F" w:rsidRDefault="00EB5CDD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(в обсязі стандарту вищої освіти магістра з відповідної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спеціальності);</w:t>
      </w:r>
    </w:p>
    <w:p w:rsidR="00453764" w:rsidRPr="007C4A3F" w:rsidRDefault="00EB5CDD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іноземної мови за програмою, яка відповідає рівню В2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Загальноєвропейських рекомендацій з мовної освіти.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Послідовність складання вступних іспитів до аспірантури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наступна: </w:t>
      </w:r>
      <w:r w:rsidR="00C51969" w:rsidRPr="007C4A3F">
        <w:rPr>
          <w:rFonts w:ascii="Times New Roman" w:hAnsi="Times New Roman" w:cs="Times New Roman"/>
          <w:sz w:val="28"/>
          <w:szCs w:val="28"/>
          <w:lang w:val="uk-UA"/>
        </w:rPr>
        <w:t>випробування з фаху</w:t>
      </w:r>
      <w:r w:rsidR="00C519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іноземна мова,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додаткове випробування (в разі необхідності)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2. Вступний іспит з іноземної мови, як кваліфікаційний іспит, оцінюється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за двобальною шкалою: «склав»,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«не склав».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При цьому:</w:t>
      </w:r>
    </w:p>
    <w:p w:rsidR="00375FC2" w:rsidRPr="007C4A3F" w:rsidRDefault="00EB5CDD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для проміжного оцінювання використовується 100-бальна шкала;</w:t>
      </w:r>
    </w:p>
    <w:p w:rsidR="00375FC2" w:rsidRPr="007C4A3F" w:rsidRDefault="00EB5CDD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мінімальна позитивна оцінка, яка відповідає рівню В2, складає 80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балів;</w:t>
      </w:r>
    </w:p>
    <w:p w:rsidR="00453764" w:rsidRPr="007C4A3F" w:rsidRDefault="00EB5CDD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до протоколу вступного іспиту з іноземної мови вноситься оцінка 0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(нуль балів), якщо вступник до аспірантури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набрав менше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ніж 80 балів, або оцінка 80, якщо вступник набрав 80 або більше балів.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Вступник до аспірантури, який набрав на вступному іспиті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 іноземної мови менше ніж 80 балів, не допускається до наступного</w:t>
      </w:r>
      <w:r w:rsidR="00375FC2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вступного випробування та участі у конкурсі.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Вступники, які мають міжнародні сертифікати з іноземної мови, отримані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впродовж останніх двох років, що засвідчують рівні С1 - С2, звільняються від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складання вступного іспиту з іноземної мови. Міжнародні сертифікати рівнів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С1 – С2 прирівнюються до результатів вступного випробування з іноземної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мови і набирають 80 балів.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Експертизу поданих вступниками міжнародних сертифікатів з іноземної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мови, що засвідчують рівні С1 – С2, проводять відповідні 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>фахівці (кафедри)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мов до початку вступних випробувань.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Перелік міжнародних сертифікатів з іноземної мови рівнів С1 – С2, які</w:t>
      </w:r>
      <w:r w:rsidR="00C5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зараховуються замість вступного іспиту до аспірантури, подано у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DD"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Додатку </w:t>
      </w:r>
      <w:r w:rsidR="00AF552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3. Вступникам, які вступають до аспірантури з іншої галузі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знань (спеціальності), ніж та, яка зазначена в їх дипломі магістра (спеціаліста),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за рішенням Приймальної комісії можуть бути призначені додаткові вступні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випробування.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вступні випробування 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відбуваються після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вступни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іноземної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мови та спеціальності. Оцінювання додаткових вступних випробувань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відбувається за двобальною шкалою: «зараховано» або «не зараховано». У тому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випадку, коли за додаткове вступне випробування вступник отримав оцінку «не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зараховано», він позбавляється права брати участь у конкурсі.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4. Особам, допущеним за рішенням Приймальної комісії до вступних</w:t>
      </w:r>
      <w:r w:rsidR="00C5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іспитів в аспірантуру, надається відпустка для підготовки та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складання іспитів згідно з чинним законодавством України.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5. Конкурсна оцінка (КО) особи, яка претендуватиме на зарахування до</w:t>
      </w:r>
    </w:p>
    <w:p w:rsidR="00453764" w:rsidRPr="007C4A3F" w:rsidRDefault="00EB5CDD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аспірантури</w:t>
      </w:r>
      <w:r w:rsidR="00453764" w:rsidRPr="007C4A3F">
        <w:rPr>
          <w:rFonts w:ascii="Times New Roman" w:hAnsi="Times New Roman" w:cs="Times New Roman"/>
          <w:sz w:val="28"/>
          <w:szCs w:val="28"/>
          <w:lang w:val="uk-UA"/>
        </w:rPr>
        <w:t>, формуватиметься за формулою: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sz w:val="28"/>
          <w:szCs w:val="28"/>
          <w:lang w:val="uk-UA"/>
        </w:rPr>
        <w:t>КО = ВІС +ВІМ +ДБ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, де:</w:t>
      </w:r>
    </w:p>
    <w:p w:rsidR="00453764" w:rsidRPr="007C4A3F" w:rsidRDefault="00453764" w:rsidP="0015124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– результат вступного іспиту зі спеціальності (за 100 бальною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шкалою),</w:t>
      </w:r>
    </w:p>
    <w:p w:rsidR="00453764" w:rsidRPr="007C4A3F" w:rsidRDefault="00453764" w:rsidP="0015124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ВІМ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– результат вступного іспиту з іноземної мови або бали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міжнародного сертифіката з іноземної мови, що засвідчує рівні С1 – С2</w:t>
      </w:r>
      <w:r w:rsidR="008849E3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(замість вступного іспиту з іноземної мови);</w:t>
      </w:r>
    </w:p>
    <w:p w:rsidR="00453764" w:rsidRPr="007C4A3F" w:rsidRDefault="00453764" w:rsidP="0015124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ДБ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– додаткові бали за наукові</w:t>
      </w:r>
      <w:r w:rsidR="00C51969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(навчальні)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6. Знання та вміння, продемонстровані вступниками до аспірантури на вступних випробуваннях зі спеціальності, оцінюються за 100-бальною шкалою. Вступники, які набрали менш як 60 балів, позбавляються</w:t>
      </w:r>
      <w:r w:rsidR="00294D66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права участі в конкурсі.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7. Додаткові бали за наукові та навчальні досягнення вступників до</w:t>
      </w:r>
      <w:r w:rsidR="00C5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аспірантури нараховує екзаменаційна комісія</w:t>
      </w:r>
      <w:r w:rsidR="00A72EA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наукової установи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після проведення вступного іспиту зі спеціальності.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Порядок нарахування додаткових балів за навчальні/наукові досягнення для</w:t>
      </w:r>
      <w:r w:rsidR="00A72EA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вступників до аспірантури подано </w:t>
      </w:r>
      <w:r w:rsidR="00E949E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Додатку</w:t>
      </w:r>
      <w:r w:rsidR="00AF55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8. Зарахування на загальних підставах відбувається за сумою балів,</w:t>
      </w:r>
      <w:r w:rsidR="002A6D49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отриманих за вступні іспити та додаткові бали, нараховані за навчальні та</w:t>
      </w:r>
      <w:r w:rsidR="00C5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наукові досягнення.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9. Вступники до аспірантури, які не пройшли за конкурсом, набравши</w:t>
      </w:r>
      <w:r w:rsidR="00A72EA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A3F">
        <w:rPr>
          <w:rFonts w:ascii="Times New Roman" w:hAnsi="Times New Roman" w:cs="Times New Roman"/>
          <w:sz w:val="28"/>
          <w:szCs w:val="28"/>
          <w:lang w:val="uk-UA"/>
        </w:rPr>
        <w:t>напівпрохідний</w:t>
      </w:r>
      <w:proofErr w:type="spellEnd"/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бал, можуть бути рекомендовані до зарахування в аспірантуру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для освоєння </w:t>
      </w:r>
      <w:proofErr w:type="spellStart"/>
      <w:r w:rsidRPr="007C4A3F">
        <w:rPr>
          <w:rFonts w:ascii="Times New Roman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підготовки докторів філософії за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кошти фізичних (юридичних) осіб.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10. Особи, які без поважних причин не з’явились на вступні випробування у</w:t>
      </w:r>
      <w:r w:rsidR="00A72EA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визначений розкладом час; особи, знання яких було оцінено балами нижче</w:t>
      </w:r>
      <w:r w:rsidR="00A72EA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встановленого Правилами прийому мінімального рівня; особи, які забрали</w:t>
      </w:r>
      <w:r w:rsidR="00A72EA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документи після дати закінчення прийому документів, до участі в наступних</w:t>
      </w:r>
      <w:r w:rsidR="00A72EA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вступних випробуваннях та у конкурсному відборі не допускаються.</w:t>
      </w:r>
      <w:r w:rsidR="00A72EA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Перескладання вступних випробувань не дозволяється.</w:t>
      </w:r>
    </w:p>
    <w:p w:rsidR="00492220" w:rsidRPr="007C4A3F" w:rsidRDefault="00492220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Право на першочергове зарахування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1. У разі одержання однакової кількості балів переважне право при</w:t>
      </w:r>
      <w:r w:rsidR="00F43F0A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зарахуванні до аспірантури матимуть вступники:</w:t>
      </w:r>
    </w:p>
    <w:p w:rsidR="00453764" w:rsidRPr="00C51969" w:rsidRDefault="00453764" w:rsidP="0015124A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969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наукові публікації, брали участь в</w:t>
      </w:r>
      <w:r w:rsidR="00C5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969">
        <w:rPr>
          <w:rFonts w:ascii="Times New Roman" w:hAnsi="Times New Roman" w:cs="Times New Roman"/>
          <w:sz w:val="28"/>
          <w:szCs w:val="28"/>
          <w:lang w:val="uk-UA"/>
        </w:rPr>
        <w:t>конференціях;</w:t>
      </w:r>
    </w:p>
    <w:p w:rsidR="00453764" w:rsidRPr="007C4A3F" w:rsidRDefault="00453764" w:rsidP="0015124A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які успішно закінчили магістратуру, отримавши диплом магістра з</w:t>
      </w:r>
      <w:r w:rsidR="002B03A9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відзнакою;</w:t>
      </w:r>
    </w:p>
    <w:p w:rsidR="00453764" w:rsidRPr="007C4A3F" w:rsidRDefault="00453764" w:rsidP="0015124A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рекомендовані до вступу в аспірантуру Вченою радою</w:t>
      </w:r>
      <w:r w:rsidR="002A6D49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вищого навчального закладу (факультету, інституту), наукової</w:t>
      </w:r>
      <w:r w:rsidR="002B03A9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="00294D66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та мають цільове направлення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764" w:rsidRPr="007C4A3F" w:rsidRDefault="00453764" w:rsidP="0015124A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мають міжнародний сертифікат з іноземної мови, що підтверджує рівні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С1 – С2.</w:t>
      </w:r>
    </w:p>
    <w:p w:rsidR="00492220" w:rsidRPr="007C4A3F" w:rsidRDefault="00492220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Зарахування на навчання</w:t>
      </w:r>
    </w:p>
    <w:p w:rsidR="00453764" w:rsidRPr="007C4A3F" w:rsidRDefault="00453764" w:rsidP="001512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t>Рейтинговий список вступників до аспірантури</w:t>
      </w:r>
      <w:r w:rsidR="0081689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установи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3F">
        <w:rPr>
          <w:rFonts w:ascii="Times New Roman" w:hAnsi="Times New Roman" w:cs="Times New Roman"/>
          <w:sz w:val="28"/>
          <w:szCs w:val="28"/>
          <w:lang w:val="uk-UA"/>
        </w:rPr>
        <w:t>рекомендуються до зарахування, впорядковується за конкурсним балом від</w:t>
      </w:r>
      <w:r w:rsidR="00EB5CDD" w:rsidRPr="007C4A3F">
        <w:rPr>
          <w:rFonts w:ascii="Times New Roman" w:hAnsi="Times New Roman" w:cs="Times New Roman"/>
          <w:sz w:val="28"/>
          <w:szCs w:val="28"/>
          <w:lang w:val="uk-UA"/>
        </w:rPr>
        <w:t xml:space="preserve"> більшого до меншого.</w:t>
      </w:r>
    </w:p>
    <w:p w:rsidR="00453764" w:rsidRPr="007C4A3F" w:rsidRDefault="00453764" w:rsidP="0015124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5DDE" w:rsidRPr="007C4A3F" w:rsidRDefault="002A5DDE" w:rsidP="002A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2A5DDE" w:rsidRPr="007C4A3F" w:rsidSect="00C439C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9E0" w:rsidRPr="007C4A3F" w:rsidRDefault="00521CF1" w:rsidP="0091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1</w:t>
      </w:r>
      <w:r w:rsidR="009149E0"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Перелік міжнародних сертифікатів з іноземної мови рівнів С1 – С2, які зараховуються замість вступного іспиту до аспірантури</w:t>
      </w:r>
    </w:p>
    <w:p w:rsidR="009149E0" w:rsidRPr="007C4A3F" w:rsidRDefault="009149E0" w:rsidP="0091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190" w:type="dxa"/>
          </w:tcPr>
          <w:p w:rsidR="009149E0" w:rsidRPr="007C4A3F" w:rsidRDefault="006D3EDA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191" w:type="dxa"/>
          </w:tcPr>
          <w:p w:rsidR="006D3EDA" w:rsidRPr="007C4A3F" w:rsidRDefault="006D3EDA" w:rsidP="006D3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Бали,</w:t>
            </w:r>
          </w:p>
          <w:p w:rsidR="006D3EDA" w:rsidRPr="007C4A3F" w:rsidRDefault="006D3EDA" w:rsidP="006D3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відповідають рівням</w:t>
            </w:r>
          </w:p>
          <w:p w:rsidR="009149E0" w:rsidRPr="007C4A3F" w:rsidRDefault="006D3EDA" w:rsidP="006D3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С1 та С2</w:t>
            </w:r>
          </w:p>
        </w:tc>
      </w:tr>
      <w:tr w:rsidR="009149E0" w:rsidRPr="007C4A3F" w:rsidTr="00C51969">
        <w:tc>
          <w:tcPr>
            <w:tcW w:w="3190" w:type="dxa"/>
            <w:vMerge w:val="restart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Англійська мова</w:t>
            </w:r>
          </w:p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IELTS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6.5-9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TOEFL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iBT</w:t>
            </w:r>
            <w:proofErr w:type="spellEnd"/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79-120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TOEFL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paper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based</w:t>
            </w:r>
            <w:proofErr w:type="spellEnd"/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550-667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CPE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A, B, C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CAE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A, B, C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FCE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</w:t>
            </w:r>
          </w:p>
        </w:tc>
      </w:tr>
      <w:tr w:rsidR="009149E0" w:rsidRPr="007C4A3F" w:rsidTr="00C51969">
        <w:tc>
          <w:tcPr>
            <w:tcW w:w="3190" w:type="dxa"/>
            <w:vMerge w:val="restart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Test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DaF</w:t>
            </w:r>
            <w:proofErr w:type="spellEnd"/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Goethe-Zertifikat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Zentrale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berstufenprüfung</w:t>
            </w:r>
            <w:proofErr w:type="spellEnd"/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Kleines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Deutsches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Sprachdiplom</w:t>
            </w:r>
            <w:proofErr w:type="spellEnd"/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  <w:tr w:rsidR="009149E0" w:rsidRPr="007C4A3F" w:rsidTr="00C51969">
        <w:tc>
          <w:tcPr>
            <w:tcW w:w="3190" w:type="dxa"/>
            <w:vMerge w:val="restart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TCF C1 – TCF C2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DALF C1 – DALF C2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 – C2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DSLCF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C1</w:t>
            </w:r>
          </w:p>
        </w:tc>
      </w:tr>
      <w:tr w:rsidR="009149E0" w:rsidRPr="007C4A3F" w:rsidTr="00C51969">
        <w:tc>
          <w:tcPr>
            <w:tcW w:w="3190" w:type="dxa"/>
            <w:vMerge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DHEF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C2</w:t>
            </w:r>
          </w:p>
        </w:tc>
      </w:tr>
    </w:tbl>
    <w:p w:rsidR="009149E0" w:rsidRPr="007C4A3F" w:rsidRDefault="009149E0" w:rsidP="0091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9E0" w:rsidRPr="007C4A3F" w:rsidRDefault="009149E0" w:rsidP="009149E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9149E0" w:rsidRPr="007C4A3F" w:rsidRDefault="00521CF1" w:rsidP="0091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2</w:t>
      </w:r>
      <w:r w:rsidR="009149E0"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Порядок нарахування додаткових балів за наукові (навчальні) досягнення вступників до аспірантури для здобуття наукового ступеня доктора філософії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Наукові (навчальні) досягнення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сертифікат з іноземної мови, отриманий за останні два роки, що</w:t>
            </w:r>
          </w:p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підтверджує рівні С1 – С2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D52C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 – 5</w:t>
            </w:r>
          </w:p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С2 – 10</w:t>
            </w:r>
          </w:p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 у науковому виданні, включеному до Переліку наукових фахових видань України (за обраною спеціальністю)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7C4A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(кожна стаття)</w:t>
            </w:r>
          </w:p>
        </w:tc>
      </w:tr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Наукова стаття у виданні, яке входить до міжнародних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 (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Copernikus</w:t>
            </w:r>
            <w:proofErr w:type="spellEnd"/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інші) за обраною спеціальністю*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7C4A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(кожна стаття)</w:t>
            </w:r>
          </w:p>
        </w:tc>
      </w:tr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Одноосібна монографія або розділ у колективній монографії, яка рекомендована до друку вченою радою наукової установи або факультету/інституту ВНЗ *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7C4A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науковій всеукраїнській конференції (за умови опублікування тез доповіді) за обраною спеціальністю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7C4A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(кожна теза)</w:t>
            </w:r>
          </w:p>
        </w:tc>
      </w:tr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Патент або авторське свідоцтво на винахід**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7C4A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6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Рекомендація Вченої ради наукової установи, факультету/інституту до аспірантури (за наявності)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7C4A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7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9149E0" w:rsidRPr="007C4A3F" w:rsidTr="00C51969"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магістра/спеціаліста з відзнакою</w:t>
            </w:r>
          </w:p>
        </w:tc>
        <w:tc>
          <w:tcPr>
            <w:tcW w:w="3190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</w:t>
            </w:r>
            <w:r w:rsidRPr="007C4A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8</w:t>
            </w:r>
          </w:p>
        </w:tc>
        <w:tc>
          <w:tcPr>
            <w:tcW w:w="3191" w:type="dxa"/>
          </w:tcPr>
          <w:p w:rsidR="009149E0" w:rsidRPr="007C4A3F" w:rsidRDefault="009149E0" w:rsidP="00C51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A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</w:tbl>
    <w:p w:rsidR="009149E0" w:rsidRPr="007C4A3F" w:rsidRDefault="009149E0" w:rsidP="0091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A3F">
        <w:rPr>
          <w:rFonts w:ascii="Times New Roman" w:hAnsi="Times New Roman" w:cs="Times New Roman"/>
          <w:sz w:val="24"/>
          <w:szCs w:val="24"/>
          <w:lang w:val="uk-UA"/>
        </w:rPr>
        <w:t>* – за період не більше трьох років до моменту вступу (в сумі не більше як 60 балів</w:t>
      </w:r>
    </w:p>
    <w:p w:rsidR="009149E0" w:rsidRPr="007C4A3F" w:rsidRDefault="009149E0" w:rsidP="0091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4A3F">
        <w:rPr>
          <w:rFonts w:ascii="Times New Roman" w:hAnsi="Times New Roman" w:cs="Times New Roman"/>
          <w:sz w:val="24"/>
          <w:szCs w:val="24"/>
          <w:lang w:val="uk-UA"/>
        </w:rPr>
        <w:t>за публікації та участь у конференціях);</w:t>
      </w:r>
    </w:p>
    <w:p w:rsidR="009149E0" w:rsidRPr="007C4A3F" w:rsidRDefault="009149E0" w:rsidP="0091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A3F">
        <w:rPr>
          <w:rFonts w:ascii="Times New Roman" w:hAnsi="Times New Roman" w:cs="Times New Roman"/>
          <w:sz w:val="24"/>
          <w:szCs w:val="24"/>
          <w:lang w:val="uk-UA"/>
        </w:rPr>
        <w:t>** – за період не більше трьох років до моменту вступу.</w:t>
      </w:r>
    </w:p>
    <w:p w:rsidR="009149E0" w:rsidRDefault="009149E0" w:rsidP="0043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9149E0" w:rsidSect="009149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798E" w:rsidRPr="007C4A3F" w:rsidRDefault="00EF7423" w:rsidP="00AE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3</w:t>
      </w:r>
      <w:r w:rsidR="00AE798E"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Перелік галузей знань та спеціальностей, за якими оголошується прийом на навчання в а</w:t>
      </w:r>
      <w:r w:rsidR="00AE798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спірантурі ННЦ «ІЕКВМ»</w:t>
      </w:r>
      <w:r w:rsidR="00AE798E" w:rsidRPr="007C4A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здобуття наукового ступеня доктора філософії</w:t>
      </w:r>
    </w:p>
    <w:p w:rsidR="00AE798E" w:rsidRPr="007C4A3F" w:rsidRDefault="00AE798E" w:rsidP="00AE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13373" w:type="dxa"/>
        <w:tblLook w:val="04A0" w:firstRow="1" w:lastRow="0" w:firstColumn="1" w:lastColumn="0" w:noHBand="0" w:noVBand="1"/>
      </w:tblPr>
      <w:tblGrid>
        <w:gridCol w:w="518"/>
        <w:gridCol w:w="3069"/>
        <w:gridCol w:w="857"/>
        <w:gridCol w:w="1734"/>
        <w:gridCol w:w="918"/>
        <w:gridCol w:w="3502"/>
        <w:gridCol w:w="2775"/>
      </w:tblGrid>
      <w:tr w:rsidR="00EF7423" w:rsidRPr="00526E38" w:rsidTr="00EF7423">
        <w:trPr>
          <w:trHeight w:val="940"/>
          <w:tblHeader/>
        </w:trPr>
        <w:tc>
          <w:tcPr>
            <w:tcW w:w="518" w:type="dxa"/>
            <w:vMerge w:val="restart"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69" w:type="dxa"/>
            <w:vMerge w:val="restart"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Наукова установа/адреса</w:t>
            </w:r>
          </w:p>
        </w:tc>
        <w:tc>
          <w:tcPr>
            <w:tcW w:w="2591" w:type="dxa"/>
            <w:gridSpan w:val="2"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4420" w:type="dxa"/>
            <w:gridSpan w:val="2"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775" w:type="dxa"/>
            <w:vMerge w:val="restart"/>
            <w:vAlign w:val="center"/>
          </w:tcPr>
          <w:p w:rsidR="00EF7423" w:rsidRPr="00526E38" w:rsidRDefault="00EF7423" w:rsidP="00984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Обсяг </w:t>
            </w:r>
            <w:r w:rsidR="00984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прийому за ліцензією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осіб</w:t>
            </w:r>
          </w:p>
        </w:tc>
      </w:tr>
      <w:tr w:rsidR="00EF7423" w:rsidRPr="00526E38" w:rsidTr="00EF7423">
        <w:trPr>
          <w:trHeight w:val="471"/>
        </w:trPr>
        <w:tc>
          <w:tcPr>
            <w:tcW w:w="518" w:type="dxa"/>
            <w:vMerge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  <w:vMerge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7" w:type="dxa"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734" w:type="dxa"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18" w:type="dxa"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502" w:type="dxa"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775" w:type="dxa"/>
            <w:vMerge/>
            <w:vAlign w:val="center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7423" w:rsidRPr="00526E38" w:rsidTr="00EF7423">
        <w:trPr>
          <w:trHeight w:val="471"/>
        </w:trPr>
        <w:tc>
          <w:tcPr>
            <w:tcW w:w="518" w:type="dxa"/>
            <w:vMerge w:val="restart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069" w:type="dxa"/>
            <w:vMerge w:val="restart"/>
          </w:tcPr>
          <w:p w:rsidR="00EF7423" w:rsidRPr="00526E38" w:rsidRDefault="00EF7423" w:rsidP="00274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ННЦ "Інститут експериментальної і клінічної ветеринарної медицини"</w:t>
            </w:r>
          </w:p>
          <w:p w:rsidR="00EF7423" w:rsidRPr="00526E38" w:rsidRDefault="00EF7423" w:rsidP="002740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м.Харків</w:t>
            </w:r>
            <w:proofErr w:type="spellEnd"/>
            <w:r w:rsidRPr="0052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F7423" w:rsidRPr="00526E38" w:rsidRDefault="00EF7423" w:rsidP="002740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Пушкінська, 83</w:t>
            </w:r>
          </w:p>
          <w:p w:rsidR="00EF7423" w:rsidRPr="00526E38" w:rsidRDefault="00EF7423" w:rsidP="00274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704-10-90</w:t>
            </w:r>
          </w:p>
        </w:tc>
        <w:tc>
          <w:tcPr>
            <w:tcW w:w="857" w:type="dxa"/>
            <w:vMerge w:val="restart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734" w:type="dxa"/>
            <w:vMerge w:val="restart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918" w:type="dxa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211</w:t>
            </w:r>
          </w:p>
        </w:tc>
        <w:tc>
          <w:tcPr>
            <w:tcW w:w="3502" w:type="dxa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2775" w:type="dxa"/>
          </w:tcPr>
          <w:p w:rsidR="00EF7423" w:rsidRPr="00526E38" w:rsidRDefault="00912A17" w:rsidP="00274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F7423" w:rsidRPr="00526E38" w:rsidTr="00EF7423">
        <w:trPr>
          <w:trHeight w:val="471"/>
        </w:trPr>
        <w:tc>
          <w:tcPr>
            <w:tcW w:w="518" w:type="dxa"/>
            <w:vMerge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  <w:vMerge/>
          </w:tcPr>
          <w:p w:rsidR="00EF7423" w:rsidRPr="00526E38" w:rsidRDefault="00EF7423" w:rsidP="00274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7" w:type="dxa"/>
            <w:vMerge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212</w:t>
            </w:r>
          </w:p>
        </w:tc>
        <w:tc>
          <w:tcPr>
            <w:tcW w:w="3502" w:type="dxa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2775" w:type="dxa"/>
          </w:tcPr>
          <w:p w:rsidR="00EF7423" w:rsidRPr="00526E38" w:rsidRDefault="0098411E" w:rsidP="00274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F7423" w:rsidRPr="00526E38" w:rsidTr="00EF7423">
        <w:trPr>
          <w:trHeight w:val="471"/>
        </w:trPr>
        <w:tc>
          <w:tcPr>
            <w:tcW w:w="518" w:type="dxa"/>
            <w:vMerge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9" w:type="dxa"/>
            <w:vMerge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7" w:type="dxa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</w:t>
            </w:r>
          </w:p>
        </w:tc>
        <w:tc>
          <w:tcPr>
            <w:tcW w:w="1734" w:type="dxa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18" w:type="dxa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091</w:t>
            </w:r>
          </w:p>
        </w:tc>
        <w:tc>
          <w:tcPr>
            <w:tcW w:w="3502" w:type="dxa"/>
          </w:tcPr>
          <w:p w:rsidR="00EF7423" w:rsidRPr="00526E38" w:rsidRDefault="00EF7423" w:rsidP="00274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6E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75" w:type="dxa"/>
          </w:tcPr>
          <w:p w:rsidR="00EF7423" w:rsidRPr="00526E38" w:rsidRDefault="0098411E" w:rsidP="00274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9F30A1" w:rsidRPr="007C4A3F" w:rsidRDefault="009F30A1" w:rsidP="0043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9F30A1" w:rsidRPr="007C4A3F" w:rsidSect="002A5D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67" w:rsidRDefault="003F0D67" w:rsidP="0015124A">
      <w:pPr>
        <w:spacing w:after="0" w:line="240" w:lineRule="auto"/>
      </w:pPr>
      <w:r>
        <w:separator/>
      </w:r>
    </w:p>
  </w:endnote>
  <w:endnote w:type="continuationSeparator" w:id="0">
    <w:p w:rsidR="003F0D67" w:rsidRDefault="003F0D67" w:rsidP="001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1504"/>
      <w:docPartObj>
        <w:docPartGallery w:val="Page Numbers (Bottom of Page)"/>
        <w:docPartUnique/>
      </w:docPartObj>
    </w:sdtPr>
    <w:sdtEndPr/>
    <w:sdtContent>
      <w:p w:rsidR="002964B6" w:rsidRDefault="002964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4B6" w:rsidRDefault="002964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67" w:rsidRDefault="003F0D67" w:rsidP="0015124A">
      <w:pPr>
        <w:spacing w:after="0" w:line="240" w:lineRule="auto"/>
      </w:pPr>
      <w:r>
        <w:separator/>
      </w:r>
    </w:p>
  </w:footnote>
  <w:footnote w:type="continuationSeparator" w:id="0">
    <w:p w:rsidR="003F0D67" w:rsidRDefault="003F0D67" w:rsidP="001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B6" w:rsidRDefault="002964B6">
    <w:pPr>
      <w:pStyle w:val="a7"/>
      <w:jc w:val="right"/>
    </w:pPr>
  </w:p>
  <w:p w:rsidR="002964B6" w:rsidRDefault="002964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D9"/>
    <w:multiLevelType w:val="hybridMultilevel"/>
    <w:tmpl w:val="3B8262F0"/>
    <w:lvl w:ilvl="0" w:tplc="C39A99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040F2"/>
    <w:multiLevelType w:val="hybridMultilevel"/>
    <w:tmpl w:val="7ECC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764"/>
    <w:rsid w:val="00001003"/>
    <w:rsid w:val="00002D25"/>
    <w:rsid w:val="00004E3E"/>
    <w:rsid w:val="0000555C"/>
    <w:rsid w:val="00027FF4"/>
    <w:rsid w:val="00032F63"/>
    <w:rsid w:val="0003711C"/>
    <w:rsid w:val="0004696D"/>
    <w:rsid w:val="00056482"/>
    <w:rsid w:val="00077F60"/>
    <w:rsid w:val="000852B9"/>
    <w:rsid w:val="00094F25"/>
    <w:rsid w:val="000C1A8A"/>
    <w:rsid w:val="000D4528"/>
    <w:rsid w:val="000E4B78"/>
    <w:rsid w:val="0011118B"/>
    <w:rsid w:val="00112F84"/>
    <w:rsid w:val="00117D09"/>
    <w:rsid w:val="0012457B"/>
    <w:rsid w:val="0015124A"/>
    <w:rsid w:val="00155C04"/>
    <w:rsid w:val="00184F0A"/>
    <w:rsid w:val="00191792"/>
    <w:rsid w:val="001950C3"/>
    <w:rsid w:val="001A3D4E"/>
    <w:rsid w:val="001B1FAB"/>
    <w:rsid w:val="001B3007"/>
    <w:rsid w:val="001C5663"/>
    <w:rsid w:val="001E20A2"/>
    <w:rsid w:val="00236308"/>
    <w:rsid w:val="00271BB8"/>
    <w:rsid w:val="00285339"/>
    <w:rsid w:val="0029477C"/>
    <w:rsid w:val="00294D66"/>
    <w:rsid w:val="002964B6"/>
    <w:rsid w:val="002A5DDE"/>
    <w:rsid w:val="002A6D49"/>
    <w:rsid w:val="002B03A9"/>
    <w:rsid w:val="002B4C79"/>
    <w:rsid w:val="002B61D0"/>
    <w:rsid w:val="002E4D8C"/>
    <w:rsid w:val="002E7DCB"/>
    <w:rsid w:val="003255DC"/>
    <w:rsid w:val="003400D2"/>
    <w:rsid w:val="00354321"/>
    <w:rsid w:val="003546FA"/>
    <w:rsid w:val="00367D2C"/>
    <w:rsid w:val="00375FC2"/>
    <w:rsid w:val="00384653"/>
    <w:rsid w:val="003A2CE3"/>
    <w:rsid w:val="003A50A2"/>
    <w:rsid w:val="003B1F6D"/>
    <w:rsid w:val="003B64E5"/>
    <w:rsid w:val="003C7C0A"/>
    <w:rsid w:val="003D6ED2"/>
    <w:rsid w:val="003F0D67"/>
    <w:rsid w:val="004049E5"/>
    <w:rsid w:val="00410885"/>
    <w:rsid w:val="00417EDF"/>
    <w:rsid w:val="004242B9"/>
    <w:rsid w:val="00435210"/>
    <w:rsid w:val="0043759F"/>
    <w:rsid w:val="00452B6C"/>
    <w:rsid w:val="00453764"/>
    <w:rsid w:val="00454F09"/>
    <w:rsid w:val="00457FA5"/>
    <w:rsid w:val="00481C9A"/>
    <w:rsid w:val="00483E03"/>
    <w:rsid w:val="00492220"/>
    <w:rsid w:val="004B63BB"/>
    <w:rsid w:val="004C4338"/>
    <w:rsid w:val="004E0458"/>
    <w:rsid w:val="004E0C66"/>
    <w:rsid w:val="005208B2"/>
    <w:rsid w:val="00521CF1"/>
    <w:rsid w:val="005240C8"/>
    <w:rsid w:val="00526E38"/>
    <w:rsid w:val="0053052E"/>
    <w:rsid w:val="00533362"/>
    <w:rsid w:val="005375A7"/>
    <w:rsid w:val="005467B6"/>
    <w:rsid w:val="00553B77"/>
    <w:rsid w:val="00556162"/>
    <w:rsid w:val="00560AA3"/>
    <w:rsid w:val="00577727"/>
    <w:rsid w:val="00586690"/>
    <w:rsid w:val="005923D6"/>
    <w:rsid w:val="005A7D17"/>
    <w:rsid w:val="005D08B6"/>
    <w:rsid w:val="005D3863"/>
    <w:rsid w:val="00601F06"/>
    <w:rsid w:val="00612207"/>
    <w:rsid w:val="00612AC5"/>
    <w:rsid w:val="006160FD"/>
    <w:rsid w:val="00626662"/>
    <w:rsid w:val="00637667"/>
    <w:rsid w:val="006519C9"/>
    <w:rsid w:val="006658BC"/>
    <w:rsid w:val="00695A83"/>
    <w:rsid w:val="006A1E84"/>
    <w:rsid w:val="006D07FF"/>
    <w:rsid w:val="006D0A4D"/>
    <w:rsid w:val="006D3EDA"/>
    <w:rsid w:val="006E7821"/>
    <w:rsid w:val="006F68D8"/>
    <w:rsid w:val="00701912"/>
    <w:rsid w:val="00705859"/>
    <w:rsid w:val="00711370"/>
    <w:rsid w:val="0072519F"/>
    <w:rsid w:val="007639A9"/>
    <w:rsid w:val="007709DD"/>
    <w:rsid w:val="0077333F"/>
    <w:rsid w:val="00777C8E"/>
    <w:rsid w:val="00782309"/>
    <w:rsid w:val="007C4A3F"/>
    <w:rsid w:val="007D723F"/>
    <w:rsid w:val="007F2644"/>
    <w:rsid w:val="007F614F"/>
    <w:rsid w:val="0081689D"/>
    <w:rsid w:val="00827D6A"/>
    <w:rsid w:val="008302A8"/>
    <w:rsid w:val="00840B2A"/>
    <w:rsid w:val="0085412B"/>
    <w:rsid w:val="008548CB"/>
    <w:rsid w:val="00863CF6"/>
    <w:rsid w:val="00881A5C"/>
    <w:rsid w:val="008849E3"/>
    <w:rsid w:val="00886CE4"/>
    <w:rsid w:val="008A71E9"/>
    <w:rsid w:val="008B5B6F"/>
    <w:rsid w:val="008D000B"/>
    <w:rsid w:val="008E0DF4"/>
    <w:rsid w:val="00903DC6"/>
    <w:rsid w:val="00911D44"/>
    <w:rsid w:val="00912A17"/>
    <w:rsid w:val="009149E0"/>
    <w:rsid w:val="009257BC"/>
    <w:rsid w:val="00930AD7"/>
    <w:rsid w:val="0093240C"/>
    <w:rsid w:val="009343D3"/>
    <w:rsid w:val="00945366"/>
    <w:rsid w:val="0097178F"/>
    <w:rsid w:val="00976E11"/>
    <w:rsid w:val="0098411E"/>
    <w:rsid w:val="009B4E26"/>
    <w:rsid w:val="009C50B7"/>
    <w:rsid w:val="009E1809"/>
    <w:rsid w:val="009E3D0C"/>
    <w:rsid w:val="009F30A1"/>
    <w:rsid w:val="009F6345"/>
    <w:rsid w:val="00A12DEF"/>
    <w:rsid w:val="00A15861"/>
    <w:rsid w:val="00A2062E"/>
    <w:rsid w:val="00A370D3"/>
    <w:rsid w:val="00A41531"/>
    <w:rsid w:val="00A61937"/>
    <w:rsid w:val="00A63A2B"/>
    <w:rsid w:val="00A72EAD"/>
    <w:rsid w:val="00A76BA5"/>
    <w:rsid w:val="00A7786C"/>
    <w:rsid w:val="00A91ADB"/>
    <w:rsid w:val="00AB0EA3"/>
    <w:rsid w:val="00AD0C2B"/>
    <w:rsid w:val="00AD6A54"/>
    <w:rsid w:val="00AE0B14"/>
    <w:rsid w:val="00AE798E"/>
    <w:rsid w:val="00AF401A"/>
    <w:rsid w:val="00AF533A"/>
    <w:rsid w:val="00AF552A"/>
    <w:rsid w:val="00B035DF"/>
    <w:rsid w:val="00B218A8"/>
    <w:rsid w:val="00B40ECA"/>
    <w:rsid w:val="00B509CA"/>
    <w:rsid w:val="00B53F06"/>
    <w:rsid w:val="00B613F9"/>
    <w:rsid w:val="00B666E3"/>
    <w:rsid w:val="00B67B6A"/>
    <w:rsid w:val="00B76DB9"/>
    <w:rsid w:val="00B80D64"/>
    <w:rsid w:val="00B91B20"/>
    <w:rsid w:val="00BA31DB"/>
    <w:rsid w:val="00BA38CB"/>
    <w:rsid w:val="00BB2BC0"/>
    <w:rsid w:val="00BC17E6"/>
    <w:rsid w:val="00BD00A4"/>
    <w:rsid w:val="00BF459B"/>
    <w:rsid w:val="00BF4C10"/>
    <w:rsid w:val="00C065EB"/>
    <w:rsid w:val="00C101C2"/>
    <w:rsid w:val="00C34F00"/>
    <w:rsid w:val="00C41905"/>
    <w:rsid w:val="00C439CC"/>
    <w:rsid w:val="00C51969"/>
    <w:rsid w:val="00C62A47"/>
    <w:rsid w:val="00C84138"/>
    <w:rsid w:val="00C904CA"/>
    <w:rsid w:val="00C931C0"/>
    <w:rsid w:val="00CB3186"/>
    <w:rsid w:val="00CC44B8"/>
    <w:rsid w:val="00CC4763"/>
    <w:rsid w:val="00CD134D"/>
    <w:rsid w:val="00CD3A4D"/>
    <w:rsid w:val="00D02085"/>
    <w:rsid w:val="00D114C1"/>
    <w:rsid w:val="00D135D1"/>
    <w:rsid w:val="00D138E6"/>
    <w:rsid w:val="00D30A60"/>
    <w:rsid w:val="00D329DA"/>
    <w:rsid w:val="00D476C3"/>
    <w:rsid w:val="00D52CC2"/>
    <w:rsid w:val="00D70854"/>
    <w:rsid w:val="00D713C2"/>
    <w:rsid w:val="00D76662"/>
    <w:rsid w:val="00D960B8"/>
    <w:rsid w:val="00DB0335"/>
    <w:rsid w:val="00DD418E"/>
    <w:rsid w:val="00DE1CB9"/>
    <w:rsid w:val="00DF69C3"/>
    <w:rsid w:val="00DF7E0D"/>
    <w:rsid w:val="00E00487"/>
    <w:rsid w:val="00E014EB"/>
    <w:rsid w:val="00E04FE2"/>
    <w:rsid w:val="00E061D7"/>
    <w:rsid w:val="00E15C85"/>
    <w:rsid w:val="00E17173"/>
    <w:rsid w:val="00E209B9"/>
    <w:rsid w:val="00E3348B"/>
    <w:rsid w:val="00E4446B"/>
    <w:rsid w:val="00E51004"/>
    <w:rsid w:val="00E54B49"/>
    <w:rsid w:val="00E60357"/>
    <w:rsid w:val="00E66ED2"/>
    <w:rsid w:val="00E75360"/>
    <w:rsid w:val="00E810EC"/>
    <w:rsid w:val="00E949E1"/>
    <w:rsid w:val="00EA1763"/>
    <w:rsid w:val="00EB458B"/>
    <w:rsid w:val="00EB5CDD"/>
    <w:rsid w:val="00EC50BF"/>
    <w:rsid w:val="00EC7794"/>
    <w:rsid w:val="00ED164E"/>
    <w:rsid w:val="00ED4314"/>
    <w:rsid w:val="00ED5A78"/>
    <w:rsid w:val="00EE7BD8"/>
    <w:rsid w:val="00EF7423"/>
    <w:rsid w:val="00F019B4"/>
    <w:rsid w:val="00F01BBE"/>
    <w:rsid w:val="00F04869"/>
    <w:rsid w:val="00F16246"/>
    <w:rsid w:val="00F22C68"/>
    <w:rsid w:val="00F248C3"/>
    <w:rsid w:val="00F355DC"/>
    <w:rsid w:val="00F43F0A"/>
    <w:rsid w:val="00F44817"/>
    <w:rsid w:val="00F666E8"/>
    <w:rsid w:val="00F715BC"/>
    <w:rsid w:val="00F76E8D"/>
    <w:rsid w:val="00FC2D18"/>
    <w:rsid w:val="00FD2340"/>
    <w:rsid w:val="00FE187E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3"/>
  </w:style>
  <w:style w:type="paragraph" w:styleId="2">
    <w:name w:val="heading 2"/>
    <w:basedOn w:val="a"/>
    <w:link w:val="20"/>
    <w:uiPriority w:val="9"/>
    <w:qFormat/>
    <w:rsid w:val="0038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4653"/>
    <w:rPr>
      <w:b/>
      <w:bCs/>
    </w:rPr>
  </w:style>
  <w:style w:type="character" w:styleId="a4">
    <w:name w:val="Emphasis"/>
    <w:basedOn w:val="a0"/>
    <w:uiPriority w:val="20"/>
    <w:qFormat/>
    <w:rsid w:val="00384653"/>
    <w:rPr>
      <w:i/>
      <w:iCs/>
    </w:rPr>
  </w:style>
  <w:style w:type="table" w:styleId="a5">
    <w:name w:val="Table Grid"/>
    <w:basedOn w:val="a1"/>
    <w:uiPriority w:val="59"/>
    <w:rsid w:val="006D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C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24A"/>
  </w:style>
  <w:style w:type="paragraph" w:styleId="a9">
    <w:name w:val="footer"/>
    <w:basedOn w:val="a"/>
    <w:link w:val="aa"/>
    <w:uiPriority w:val="99"/>
    <w:unhideWhenUsed/>
    <w:rsid w:val="001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24A"/>
  </w:style>
  <w:style w:type="paragraph" w:styleId="ab">
    <w:name w:val="Balloon Text"/>
    <w:basedOn w:val="a"/>
    <w:link w:val="ac"/>
    <w:uiPriority w:val="99"/>
    <w:semiHidden/>
    <w:unhideWhenUsed/>
    <w:rsid w:val="0088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93047-5069-479D-AECD-82EF78A6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Патморфология</cp:lastModifiedBy>
  <cp:revision>214</cp:revision>
  <cp:lastPrinted>2017-12-14T13:11:00Z</cp:lastPrinted>
  <dcterms:created xsi:type="dcterms:W3CDTF">2016-04-18T07:37:00Z</dcterms:created>
  <dcterms:modified xsi:type="dcterms:W3CDTF">2017-12-14T13:14:00Z</dcterms:modified>
</cp:coreProperties>
</file>